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69" w:rsidRDefault="003C15DE" w:rsidP="00BA16BD">
      <w:pPr>
        <w:pStyle w:val="Bodytext"/>
        <w:ind w:firstLine="0"/>
        <w:rPr>
          <w:b/>
        </w:rPr>
      </w:pPr>
      <w:bookmarkStart w:id="0" w:name="_GoBack"/>
      <w:bookmarkEnd w:id="0"/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A70949">
        <w:rPr>
          <w:b/>
        </w:rPr>
        <w:t xml:space="preserve">Wisconsin’s </w:t>
      </w:r>
      <w:r w:rsidR="009D4092">
        <w:rPr>
          <w:b/>
        </w:rPr>
        <w:t xml:space="preserve">Long-Term </w:t>
      </w:r>
      <w:r w:rsidR="00A70949">
        <w:rPr>
          <w:b/>
        </w:rPr>
        <w:t xml:space="preserve">Fiscal Health </w:t>
      </w:r>
      <w:r w:rsidR="009D4092">
        <w:rPr>
          <w:b/>
        </w:rPr>
        <w:t>Is Better, But</w:t>
      </w:r>
      <w:r w:rsidR="00FC5235">
        <w:rPr>
          <w:b/>
        </w:rPr>
        <w:t xml:space="preserve"> </w:t>
      </w:r>
      <w:r w:rsidR="009D4092">
        <w:rPr>
          <w:b/>
        </w:rPr>
        <w:t>Average</w:t>
      </w:r>
      <w:r w:rsidR="00FC5235">
        <w:rPr>
          <w:b/>
        </w:rPr>
        <w:t xml:space="preserve"> Nationally</w:t>
      </w:r>
    </w:p>
    <w:p w:rsidR="00F8653D" w:rsidRDefault="00F8653D" w:rsidP="00BA16BD">
      <w:pPr>
        <w:pStyle w:val="Bodytext"/>
        <w:ind w:firstLine="0"/>
      </w:pPr>
    </w:p>
    <w:p w:rsidR="00A70949" w:rsidRDefault="00A70949" w:rsidP="00A7094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70949">
        <w:rPr>
          <w:rFonts w:ascii="Times New Roman" w:hAnsi="Times New Roman" w:cs="Times New Roman"/>
          <w:color w:val="000000"/>
        </w:rPr>
        <w:t xml:space="preserve">With $15.8 billion in long-term liabilities and a population of 5.8 million, the state owed $2,739 per capita in 2017. That amount was down slightly from 2016 ($2,802), but </w:t>
      </w:r>
      <w:r w:rsidR="009D4092">
        <w:rPr>
          <w:rFonts w:ascii="Times New Roman" w:hAnsi="Times New Roman" w:cs="Times New Roman"/>
          <w:color w:val="000000"/>
        </w:rPr>
        <w:t xml:space="preserve">was higher than all other years since 2002. </w:t>
      </w:r>
    </w:p>
    <w:p w:rsidR="009D4092" w:rsidRDefault="009D4092" w:rsidP="00A7094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A70949" w:rsidRPr="00A70949" w:rsidRDefault="00A70949" w:rsidP="00A7094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70949">
        <w:rPr>
          <w:rFonts w:ascii="Times New Roman" w:hAnsi="Times New Roman" w:cs="Times New Roman"/>
          <w:color w:val="000000"/>
        </w:rPr>
        <w:t>When liabilities</w:t>
      </w:r>
      <w:r w:rsidR="009D4092">
        <w:rPr>
          <w:rFonts w:ascii="Times New Roman" w:hAnsi="Times New Roman" w:cs="Times New Roman"/>
          <w:color w:val="000000"/>
        </w:rPr>
        <w:t xml:space="preserve"> are compared to</w:t>
      </w:r>
      <w:r w:rsidRPr="00A70949">
        <w:rPr>
          <w:rFonts w:ascii="Times New Roman" w:hAnsi="Times New Roman" w:cs="Times New Roman"/>
          <w:color w:val="000000"/>
        </w:rPr>
        <w:t xml:space="preserve"> total state assets, long-term health weakened during 2002-11, largely because of rising state debt. In 2002, liabilities were 34.4% of state assets; by 2011, they </w:t>
      </w:r>
      <w:r w:rsidR="009D4092">
        <w:rPr>
          <w:rFonts w:ascii="Times New Roman" w:hAnsi="Times New Roman" w:cs="Times New Roman"/>
          <w:color w:val="000000"/>
        </w:rPr>
        <w:t>were 41.2%</w:t>
      </w:r>
      <w:r w:rsidRPr="00A70949">
        <w:rPr>
          <w:rFonts w:ascii="Times New Roman" w:hAnsi="Times New Roman" w:cs="Times New Roman"/>
          <w:color w:val="000000"/>
        </w:rPr>
        <w:t>.</w:t>
      </w:r>
      <w:r w:rsidR="00C96251">
        <w:rPr>
          <w:rFonts w:ascii="Times New Roman" w:hAnsi="Times New Roman" w:cs="Times New Roman"/>
          <w:color w:val="000000"/>
        </w:rPr>
        <w:t xml:space="preserve"> </w:t>
      </w:r>
      <w:r w:rsidRPr="00A70949">
        <w:rPr>
          <w:rFonts w:ascii="Times New Roman" w:hAnsi="Times New Roman" w:cs="Times New Roman"/>
          <w:color w:val="000000"/>
        </w:rPr>
        <w:t>After 2011, growth in state debt slowed and then levelled off. With total assets continuing to rise, Wisconsin’s long-term liability ratio dropped to 37.5% in 2014 and to 34.5% in 2017.</w:t>
      </w:r>
    </w:p>
    <w:p w:rsidR="009D4092" w:rsidRDefault="009D4092" w:rsidP="009D4092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  <w:spacing w:val="-4"/>
        </w:rPr>
      </w:pPr>
    </w:p>
    <w:p w:rsidR="00A70949" w:rsidRPr="00A70949" w:rsidRDefault="00A70949" w:rsidP="009D4092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A70949">
        <w:rPr>
          <w:rFonts w:ascii="Times New Roman" w:hAnsi="Times New Roman" w:cs="Times New Roman"/>
          <w:color w:val="000000"/>
          <w:spacing w:val="-4"/>
        </w:rPr>
        <w:t xml:space="preserve">Wisconsin’s long-term health is improving. However, on all three </w:t>
      </w:r>
      <w:r w:rsidR="009D4092">
        <w:rPr>
          <w:rFonts w:ascii="Times New Roman" w:hAnsi="Times New Roman" w:cs="Times New Roman"/>
          <w:color w:val="000000"/>
          <w:spacing w:val="-4"/>
        </w:rPr>
        <w:t xml:space="preserve">commonly used </w:t>
      </w:r>
      <w:r w:rsidRPr="00A70949">
        <w:rPr>
          <w:rFonts w:ascii="Times New Roman" w:hAnsi="Times New Roman" w:cs="Times New Roman"/>
          <w:color w:val="000000"/>
          <w:spacing w:val="-4"/>
        </w:rPr>
        <w:t xml:space="preserve">long-term </w:t>
      </w:r>
      <w:r w:rsidR="009D4092">
        <w:rPr>
          <w:rFonts w:ascii="Times New Roman" w:hAnsi="Times New Roman" w:cs="Times New Roman"/>
          <w:color w:val="000000"/>
          <w:spacing w:val="-4"/>
        </w:rPr>
        <w:t xml:space="preserve">health </w:t>
      </w:r>
      <w:r w:rsidRPr="00A70949">
        <w:rPr>
          <w:rFonts w:ascii="Times New Roman" w:hAnsi="Times New Roman" w:cs="Times New Roman"/>
          <w:color w:val="000000"/>
          <w:spacing w:val="-4"/>
        </w:rPr>
        <w:t>measures, Wisconsin is about average when compared to other states. National figures from 2015 show Wisconsin ranked 24th among the states on long-term liabilities per capita; 25th on the long-term liability ratio; and 26th on net asset ratio.</w:t>
      </w:r>
      <w:r w:rsidRPr="00A70949">
        <w:rPr>
          <w:rFonts w:ascii="Times New Roman" w:hAnsi="Times New Roman" w:cs="Times New Roman"/>
          <w:color w:val="000000"/>
        </w:rPr>
        <w:t xml:space="preserve"> </w:t>
      </w:r>
    </w:p>
    <w:p w:rsidR="00A70949" w:rsidRDefault="00A70949" w:rsidP="00BA16BD">
      <w:pPr>
        <w:pStyle w:val="Bodytext"/>
        <w:ind w:firstLine="0"/>
      </w:pP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F3B4A"/>
    <w:rsid w:val="001F72D0"/>
    <w:rsid w:val="00201D09"/>
    <w:rsid w:val="002124E3"/>
    <w:rsid w:val="002241BE"/>
    <w:rsid w:val="002B5AEF"/>
    <w:rsid w:val="002D4CE2"/>
    <w:rsid w:val="00306AA6"/>
    <w:rsid w:val="00341B38"/>
    <w:rsid w:val="00343E68"/>
    <w:rsid w:val="00351E63"/>
    <w:rsid w:val="003C15DE"/>
    <w:rsid w:val="003E014C"/>
    <w:rsid w:val="003E43EA"/>
    <w:rsid w:val="003F5F3E"/>
    <w:rsid w:val="00461815"/>
    <w:rsid w:val="00472A14"/>
    <w:rsid w:val="00481139"/>
    <w:rsid w:val="004B78FE"/>
    <w:rsid w:val="00531843"/>
    <w:rsid w:val="00541F37"/>
    <w:rsid w:val="0056533A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90221F"/>
    <w:rsid w:val="00914181"/>
    <w:rsid w:val="009151E3"/>
    <w:rsid w:val="009B1822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D13A69"/>
    <w:rsid w:val="00D376BF"/>
    <w:rsid w:val="00D75FF6"/>
    <w:rsid w:val="00D9194F"/>
    <w:rsid w:val="00E54451"/>
    <w:rsid w:val="00EC7973"/>
    <w:rsid w:val="00F02C01"/>
    <w:rsid w:val="00F347A9"/>
    <w:rsid w:val="00F8653D"/>
    <w:rsid w:val="00FC31CB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Microsoft Office User</cp:lastModifiedBy>
  <cp:revision>2</cp:revision>
  <cp:lastPrinted>2018-03-20T17:51:00Z</cp:lastPrinted>
  <dcterms:created xsi:type="dcterms:W3CDTF">2018-05-25T14:40:00Z</dcterms:created>
  <dcterms:modified xsi:type="dcterms:W3CDTF">2018-05-25T14:40:00Z</dcterms:modified>
</cp:coreProperties>
</file>