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ind w:firstLine="0"/>
        <w:rPr>
          <w:b w:val="1"/>
          <w:bCs w:val="1"/>
        </w:rPr>
      </w:pPr>
      <w:r>
        <w:rPr>
          <w:b w:val="1"/>
          <w:bCs w:val="1"/>
          <w:rtl w:val="0"/>
          <w:lang w:val="en-US"/>
        </w:rPr>
        <w:t xml:space="preserve">Fiscal Facts: </w:t>
      </w:r>
      <w:r>
        <w:rPr>
          <w:b w:val="1"/>
          <w:bCs w:val="1"/>
          <w:rtl w:val="0"/>
          <w:lang w:val="en-US"/>
        </w:rPr>
        <w:t>“</w:t>
      </w:r>
      <w:r>
        <w:rPr>
          <w:b w:val="1"/>
          <w:bCs w:val="1"/>
          <w:rtl w:val="0"/>
          <w:lang w:val="en-US"/>
        </w:rPr>
        <w:t>Truth in Sentencing</w:t>
      </w:r>
      <w:r>
        <w:rPr>
          <w:b w:val="1"/>
          <w:bCs w:val="1"/>
          <w:rtl w:val="0"/>
          <w:lang w:val="en-US"/>
        </w:rPr>
        <w:t xml:space="preserve">” </w:t>
      </w:r>
      <w:r>
        <w:rPr>
          <w:b w:val="1"/>
          <w:bCs w:val="1"/>
          <w:rtl w:val="0"/>
          <w:lang w:val="en-US"/>
        </w:rPr>
        <w:t>l</w:t>
      </w:r>
      <w:r>
        <w:rPr>
          <w:b w:val="1"/>
          <w:bCs w:val="1"/>
          <w:rtl w:val="0"/>
          <w:lang w:val="en-US"/>
        </w:rPr>
        <w:t>aw</w:t>
      </w:r>
      <w:r>
        <w:rPr>
          <w:b w:val="1"/>
          <w:bCs w:val="1"/>
          <w:rtl w:val="0"/>
          <w:lang w:val="en-US"/>
        </w:rPr>
        <w:t>’</w:t>
      </w:r>
      <w:r>
        <w:rPr>
          <w:b w:val="1"/>
          <w:bCs w:val="1"/>
          <w:rtl w:val="0"/>
          <w:lang w:val="en-US"/>
        </w:rPr>
        <w:t xml:space="preserve">s </w:t>
      </w:r>
      <w:r>
        <w:rPr>
          <w:b w:val="1"/>
          <w:bCs w:val="1"/>
          <w:rtl w:val="0"/>
          <w:lang w:val="en-US"/>
        </w:rPr>
        <w:t>i</w:t>
      </w:r>
      <w:r>
        <w:rPr>
          <w:b w:val="1"/>
          <w:bCs w:val="1"/>
          <w:rtl w:val="0"/>
          <w:lang w:val="en-US"/>
        </w:rPr>
        <w:t xml:space="preserve">mpact </w:t>
      </w:r>
      <w:r>
        <w:rPr>
          <w:b w:val="1"/>
          <w:bCs w:val="1"/>
          <w:rtl w:val="0"/>
          <w:lang w:val="en-US"/>
        </w:rPr>
        <w:t>s</w:t>
      </w:r>
      <w:r>
        <w:rPr>
          <w:b w:val="1"/>
          <w:bCs w:val="1"/>
          <w:rtl w:val="0"/>
          <w:lang w:val="en-US"/>
        </w:rPr>
        <w:t xml:space="preserve">een on </w:t>
      </w:r>
      <w:r>
        <w:rPr>
          <w:b w:val="1"/>
          <w:bCs w:val="1"/>
          <w:rtl w:val="0"/>
          <w:lang w:val="en-US"/>
        </w:rPr>
        <w:t>p</w:t>
      </w:r>
      <w:r>
        <w:rPr>
          <w:b w:val="1"/>
          <w:bCs w:val="1"/>
          <w:rtl w:val="0"/>
          <w:lang w:val="en-US"/>
        </w:rPr>
        <w:t xml:space="preserve">rison </w:t>
      </w:r>
      <w:r>
        <w:rPr>
          <w:b w:val="1"/>
          <w:bCs w:val="1"/>
          <w:rtl w:val="0"/>
          <w:lang w:val="en-US"/>
        </w:rPr>
        <w:t>p</w:t>
      </w:r>
      <w:r>
        <w:rPr>
          <w:b w:val="1"/>
          <w:bCs w:val="1"/>
          <w:rtl w:val="0"/>
          <w:lang w:val="en-US"/>
        </w:rPr>
        <w:t>opulation</w:t>
      </w:r>
    </w:p>
    <w:p>
      <w:pPr>
        <w:pStyle w:val="*Body text"/>
        <w:ind w:firstLine="0"/>
        <w:rPr>
          <w:spacing w:val="0"/>
        </w:rPr>
      </w:pPr>
    </w:p>
    <w:p>
      <w:pPr>
        <w:pStyle w:val="Body Text"/>
        <w:rPr>
          <w:rFonts w:ascii="Times New Roman" w:cs="Times New Roman" w:hAnsi="Times New Roman" w:eastAsia="Times New Roman"/>
        </w:rPr>
      </w:pPr>
      <w:r>
        <w:rPr>
          <w:rFonts w:ascii="Times New Roman" w:hAnsi="Times New Roman"/>
          <w:rtl w:val="0"/>
          <w:lang w:val="en-US"/>
        </w:rPr>
        <w:t>The nature of prison admissions has shifted over the past three decades. In 1990, one in five (21.9</w:t>
      </w:r>
      <w:r>
        <w:rPr>
          <w:rFonts w:ascii="Times New Roman" w:hAnsi="Times New Roman"/>
          <w:rtl w:val="0"/>
          <w:lang w:val="en-US"/>
        </w:rPr>
        <w:t xml:space="preserve"> percent</w:t>
      </w:r>
      <w:r>
        <w:rPr>
          <w:rFonts w:ascii="Times New Roman" w:hAnsi="Times New Roman"/>
          <w:rtl w:val="0"/>
          <w:lang w:val="en-US"/>
        </w:rPr>
        <w:t>) inmates was admitted to prison after revocation for violating the terms of his or her parole and without a new sentence; in 2017, that share accounted for 36.5</w:t>
      </w:r>
      <w:r>
        <w:rPr>
          <w:rFonts w:ascii="Times New Roman" w:hAnsi="Times New Roman"/>
          <w:rtl w:val="0"/>
          <w:lang w:val="en-US"/>
        </w:rPr>
        <w:t xml:space="preserve"> percent</w:t>
      </w:r>
      <w:r>
        <w:rPr>
          <w:rFonts w:ascii="Times New Roman" w:hAnsi="Times New Roman"/>
          <w:rtl w:val="0"/>
          <w:lang w:val="en-US"/>
        </w:rPr>
        <w:t xml:space="preserve"> of admissions.</w:t>
      </w:r>
    </w:p>
    <w:p>
      <w:pPr>
        <w:pStyle w:val="Body Text"/>
        <w:rPr>
          <w:rFonts w:ascii="Times New Roman" w:cs="Times New Roman" w:hAnsi="Times New Roman" w:eastAsia="Times New Roman"/>
          <w:spacing w:val="-3"/>
        </w:rPr>
      </w:pPr>
      <w:r>
        <w:rPr>
          <w:rFonts w:ascii="Times New Roman" w:hAnsi="Times New Roman"/>
          <w:rtl w:val="0"/>
          <w:lang w:val="en-US"/>
        </w:rPr>
        <w:t>Meanwhile, i</w:t>
      </w:r>
      <w:r>
        <w:rPr>
          <w:rFonts w:ascii="Times New Roman" w:hAnsi="Times New Roman"/>
          <w:spacing w:val="-3"/>
          <w:rtl w:val="0"/>
          <w:lang w:val="en-US"/>
        </w:rPr>
        <w:t>nmates entering prison with a new sentence decreased from 46.6</w:t>
      </w:r>
      <w:r>
        <w:rPr>
          <w:rFonts w:ascii="Times New Roman" w:hAnsi="Times New Roman"/>
          <w:spacing w:val="-3"/>
          <w:rtl w:val="0"/>
          <w:lang w:val="en-US"/>
        </w:rPr>
        <w:t xml:space="preserve"> percent</w:t>
      </w:r>
      <w:r>
        <w:rPr>
          <w:rFonts w:ascii="Times New Roman" w:hAnsi="Times New Roman"/>
          <w:spacing w:val="-3"/>
          <w:rtl w:val="0"/>
          <w:lang w:val="en-US"/>
        </w:rPr>
        <w:t xml:space="preserve"> to 29.9</w:t>
      </w:r>
      <w:r>
        <w:rPr>
          <w:rFonts w:ascii="Times New Roman" w:hAnsi="Times New Roman"/>
          <w:spacing w:val="-3"/>
          <w:rtl w:val="0"/>
          <w:lang w:val="en-US"/>
        </w:rPr>
        <w:t xml:space="preserve"> percent,</w:t>
      </w:r>
      <w:r>
        <w:rPr>
          <w:rFonts w:ascii="Times New Roman" w:hAnsi="Times New Roman"/>
          <w:spacing w:val="-3"/>
          <w:rtl w:val="0"/>
          <w:lang w:val="en-US"/>
        </w:rPr>
        <w:t xml:space="preserve"> and inmates admitted to prison after revocation for parole or extended supervision violations with a new sentence dropped from 27.4</w:t>
      </w:r>
      <w:r>
        <w:rPr>
          <w:rFonts w:ascii="Times New Roman" w:hAnsi="Times New Roman"/>
          <w:spacing w:val="-3"/>
          <w:rtl w:val="0"/>
          <w:lang w:val="en-US"/>
        </w:rPr>
        <w:t xml:space="preserve"> percent</w:t>
      </w:r>
      <w:r>
        <w:rPr>
          <w:rFonts w:ascii="Times New Roman" w:hAnsi="Times New Roman"/>
          <w:spacing w:val="-3"/>
          <w:rtl w:val="0"/>
          <w:lang w:val="en-US"/>
        </w:rPr>
        <w:t xml:space="preserve"> to 23.3</w:t>
      </w:r>
      <w:r>
        <w:rPr>
          <w:rFonts w:ascii="Times New Roman" w:hAnsi="Times New Roman"/>
          <w:spacing w:val="-3"/>
          <w:rtl w:val="0"/>
          <w:lang w:val="en-US"/>
        </w:rPr>
        <w:t xml:space="preserve"> percent</w:t>
      </w:r>
      <w:r>
        <w:rPr>
          <w:rFonts w:ascii="Times New Roman" w:hAnsi="Times New Roman"/>
          <w:spacing w:val="-3"/>
          <w:rtl w:val="0"/>
          <w:lang w:val="en-US"/>
        </w:rPr>
        <w:t xml:space="preserve"> in the same period. </w:t>
      </w:r>
    </w:p>
    <w:p>
      <w:pPr>
        <w:pStyle w:val="Body Text"/>
        <w:rPr>
          <w:rFonts w:ascii="Times New Roman" w:cs="Times New Roman" w:hAnsi="Times New Roman" w:eastAsia="Times New Roman"/>
          <w:spacing w:val="-3"/>
        </w:rPr>
      </w:pPr>
      <w:r>
        <w:rPr>
          <w:rFonts w:ascii="Times New Roman" w:hAnsi="Times New Roman"/>
          <w:spacing w:val="-3"/>
          <w:rtl w:val="0"/>
          <w:lang w:val="en-US"/>
        </w:rPr>
        <w:t xml:space="preserve">The trend in revocations may be due in part to the </w:t>
      </w:r>
      <w:r>
        <w:rPr>
          <w:rFonts w:ascii="Times New Roman" w:hAnsi="Times New Roman" w:hint="default"/>
          <w:spacing w:val="-3"/>
          <w:rtl w:val="0"/>
          <w:lang w:val="en-US"/>
        </w:rPr>
        <w:t>“</w:t>
      </w:r>
      <w:r>
        <w:rPr>
          <w:rFonts w:ascii="Times New Roman" w:hAnsi="Times New Roman"/>
          <w:spacing w:val="-3"/>
          <w:rtl w:val="0"/>
          <w:lang w:val="en-US"/>
        </w:rPr>
        <w:t>truth in sentencing</w:t>
      </w:r>
      <w:r>
        <w:rPr>
          <w:rFonts w:ascii="Times New Roman" w:hAnsi="Times New Roman" w:hint="default"/>
          <w:spacing w:val="-3"/>
          <w:rtl w:val="0"/>
          <w:lang w:val="en-US"/>
        </w:rPr>
        <w:t xml:space="preserve">” </w:t>
      </w:r>
      <w:r>
        <w:rPr>
          <w:rFonts w:ascii="Times New Roman" w:hAnsi="Times New Roman"/>
          <w:spacing w:val="-3"/>
          <w:rtl w:val="0"/>
          <w:lang w:val="en-US"/>
        </w:rPr>
        <w:t>law. For offenses that occurred prior to 2000, inmates are generally eligible for discretionary</w:t>
      </w:r>
      <w:r>
        <w:rPr>
          <w:rFonts w:ascii="Times New Roman" w:hAnsi="Times New Roman"/>
          <w:b w:val="1"/>
          <w:bCs w:val="1"/>
          <w:spacing w:val="-3"/>
          <w:rtl w:val="0"/>
          <w:lang w:val="en-US"/>
        </w:rPr>
        <w:t xml:space="preserve"> </w:t>
      </w:r>
      <w:r>
        <w:rPr>
          <w:rFonts w:ascii="Times New Roman" w:hAnsi="Times New Roman"/>
          <w:spacing w:val="-3"/>
          <w:rtl w:val="0"/>
          <w:lang w:val="en-US"/>
        </w:rPr>
        <w:t>release on parole after serving 25</w:t>
      </w:r>
      <w:r>
        <w:rPr>
          <w:rFonts w:ascii="Times New Roman" w:hAnsi="Times New Roman"/>
          <w:spacing w:val="-3"/>
          <w:rtl w:val="0"/>
          <w:lang w:val="en-US"/>
        </w:rPr>
        <w:t xml:space="preserve"> percent</w:t>
      </w:r>
      <w:r>
        <w:rPr>
          <w:rFonts w:ascii="Times New Roman" w:hAnsi="Times New Roman"/>
          <w:spacing w:val="-3"/>
          <w:rtl w:val="0"/>
          <w:lang w:val="en-US"/>
        </w:rPr>
        <w:t xml:space="preserve"> of their sentence, and, barring any misconduct in prison, are typically required to be released after serving two-thirds of that sentence. Thus, an inmate sentenced to 12 years under the old law was eligible for release after three years, and had to be released after eight years. The inmate was then placed on parole for the remainder of his or her sentence.</w:t>
      </w:r>
    </w:p>
    <w:p>
      <w:pPr>
        <w:pStyle w:val="Body Text"/>
        <w:spacing w:after="90"/>
        <w:rPr>
          <w:rFonts w:ascii="Times New Roman" w:cs="Times New Roman" w:hAnsi="Times New Roman" w:eastAsia="Times New Roman"/>
          <w:spacing w:val="0"/>
        </w:rPr>
      </w:pPr>
      <w:r>
        <w:rPr>
          <w:rFonts w:ascii="Times New Roman" w:hAnsi="Times New Roman"/>
          <w:spacing w:val="0"/>
          <w:rtl w:val="0"/>
          <w:lang w:val="en-US"/>
        </w:rPr>
        <w:t>Under TIS, however, inmates receive a bifurcated sentence of prison time followed by extended supervision, which must equal at least 25</w:t>
      </w:r>
      <w:r>
        <w:rPr>
          <w:rFonts w:ascii="Times New Roman" w:hAnsi="Times New Roman"/>
          <w:spacing w:val="0"/>
          <w:rtl w:val="0"/>
          <w:lang w:val="en-US"/>
        </w:rPr>
        <w:t xml:space="preserve"> percent</w:t>
      </w:r>
      <w:r>
        <w:rPr>
          <w:rFonts w:ascii="Times New Roman" w:hAnsi="Times New Roman"/>
          <w:spacing w:val="0"/>
          <w:rtl w:val="0"/>
          <w:lang w:val="en-US"/>
        </w:rPr>
        <w:t xml:space="preserve"> of their prison time. Thus, an individual sentenced to 12 years in prison would face an additional three years</w:t>
      </w:r>
      <w:r>
        <w:rPr>
          <w:rFonts w:ascii="Times New Roman" w:hAnsi="Times New Roman" w:hint="default"/>
          <w:spacing w:val="0"/>
          <w:rtl w:val="0"/>
          <w:lang w:val="en-US"/>
        </w:rPr>
        <w:t xml:space="preserve">’ </w:t>
      </w:r>
      <w:r>
        <w:rPr>
          <w:rFonts w:ascii="Times New Roman" w:hAnsi="Times New Roman"/>
          <w:spacing w:val="0"/>
          <w:rtl w:val="0"/>
          <w:lang w:val="en-US"/>
        </w:rPr>
        <w:t xml:space="preserve">extended supervision. </w:t>
      </w:r>
    </w:p>
    <w:p>
      <w:pPr>
        <w:pStyle w:val="Body Text"/>
        <w:rPr>
          <w:rFonts w:ascii="Times New Roman" w:cs="Times New Roman" w:hAnsi="Times New Roman" w:eastAsia="Times New Roman"/>
          <w:spacing w:val="-3"/>
        </w:rPr>
      </w:pPr>
      <w:r>
        <w:rPr>
          <w:rFonts w:ascii="Times New Roman" w:hAnsi="Times New Roman"/>
          <w:rtl w:val="0"/>
          <w:lang w:val="en-US"/>
        </w:rPr>
        <w:t xml:space="preserve">Offenders who violate the terms of their extended supervision could face longer time behind bars under TIS. Under the old law, inmates who violated the terms of their release could only be </w:t>
      </w:r>
      <w:r>
        <w:rPr>
          <w:rFonts w:ascii="Times New Roman" w:hAnsi="Times New Roman"/>
          <w:spacing w:val="-5"/>
          <w:rtl w:val="0"/>
          <w:lang w:val="en-US"/>
        </w:rPr>
        <w:t xml:space="preserve">re-incarcerated for the time remaining on their </w:t>
      </w:r>
      <w:r>
        <w:rPr>
          <w:rFonts w:ascii="Times New Roman" w:hAnsi="Times New Roman"/>
          <w:spacing w:val="-7"/>
          <w:rtl w:val="0"/>
          <w:lang w:val="en-US"/>
        </w:rPr>
        <w:t xml:space="preserve">parole; under TIS, inmates who are revoked may be required to serve the entire term of their extended supervision. For example, an offender who broke the rules with six </w:t>
      </w:r>
      <w:r>
        <w:rPr>
          <w:rFonts w:ascii="Times New Roman" w:hAnsi="Times New Roman"/>
          <w:rtl w:val="0"/>
          <w:lang w:val="en-US"/>
        </w:rPr>
        <w:t>months remaining on three years</w:t>
      </w:r>
      <w:r>
        <w:rPr>
          <w:rFonts w:ascii="Times New Roman" w:hAnsi="Times New Roman" w:hint="default"/>
          <w:rtl w:val="0"/>
          <w:lang w:val="en-US"/>
        </w:rPr>
        <w:t xml:space="preserve">’ </w:t>
      </w:r>
      <w:r>
        <w:rPr>
          <w:rFonts w:ascii="Times New Roman" w:hAnsi="Times New Roman"/>
          <w:rtl w:val="0"/>
          <w:lang w:val="en-US"/>
        </w:rPr>
        <w:t>parole under the old law would serve at most six months; under TIS, it could be three years.</w:t>
      </w:r>
    </w:p>
    <w:p>
      <w:pPr>
        <w:pStyle w:val="Body Text"/>
        <w:rPr>
          <w:spacing w:val="0"/>
        </w:rPr>
      </w:pPr>
    </w:p>
    <w:p>
      <w:pPr>
        <w:pStyle w:val="Body Text"/>
        <w:spacing w:after="90"/>
        <w:rPr>
          <w:rFonts w:ascii="Times New Roman" w:cs="Times New Roman" w:hAnsi="Times New Roman" w:eastAsia="Times New Roman"/>
        </w:rPr>
      </w:pPr>
    </w:p>
    <w:p>
      <w:pPr>
        <w:pStyle w:val="*Body text"/>
        <w:ind w:firstLine="0"/>
      </w:pPr>
      <w:r>
        <w:rPr>
          <w:i w:val="1"/>
          <w:iCs w:val="1"/>
          <w:rtl w:val="0"/>
          <w:lang w:val="en-US"/>
        </w:rPr>
        <w:t>This information is a service of the Wisconsin Policy Forum, the state</w:t>
      </w:r>
      <w:r>
        <w:rPr>
          <w:i w:val="1"/>
          <w:iCs w:val="1"/>
          <w:rtl w:val="0"/>
          <w:lang w:val="en-US"/>
        </w:rPr>
        <w:t>’</w:t>
      </w:r>
      <w:r>
        <w:rPr>
          <w:i w:val="1"/>
          <w:iCs w:val="1"/>
          <w:rtl w:val="0"/>
          <w:lang w:val="en-US"/>
        </w:rPr>
        <w:t xml:space="preserve">s leading resource for nonpartisan state and local government research and civic education. Learn more at wispolicyforum.org. </w:t>
      </w:r>
      <w:r>
        <w:rPr>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tabs>
        <w:tab w:val="left" w:pos="240"/>
      </w:tabs>
      <w:suppressAutoHyphens w:val="0"/>
      <w:bidi w:val="0"/>
      <w:spacing w:before="0" w:after="60" w:line="272" w:lineRule="atLeast"/>
      <w:ind w:left="0" w:right="0" w:firstLine="3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