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RIGHT TO KNOW / JONATHAN ANDERSON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Lawmakers use costs to rebuff records requests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May, as the state Legislature’s Republican-controlled budget committee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considered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plan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spend far less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education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 what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emocrat Gov. Tony Evers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proposed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Sheila Plotkin started filing public records requests.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Plotkin asked nearly every member of the Joint Finance Committee for correspondence they had received from Wisconsin residents about education funding.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of the legislators Plotkin contacted provided responsive records for free. All, that is, except one: state Rep. John Nygren (R-Marinette), the panel’s co-chair, wanted Plotkin to pay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$100.41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location costs.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Plotkin, this was a nonstarter.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“I’m a citizen on a fixed income and cannot afford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$100.41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,” said the 81-year-old retired educator from Madison. “I reject these charges. I think it is an attempt to price individual citizens out of” public records.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Similarly, Wisconsin Freedom of Information Council President Bill Lueders asked Nygren in June for communications about the state budget. Nygren had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claimed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Republicans’ budget bill was crafted based on public input, so Lueders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asked to see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what members of the public said.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Nygren agreed to produce the records — but only if Lueders paid an upfront search fee of $334.66. Lueders declined, noting that in numerous past requests no legislator had ever before charged him location fees.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recently, state Assembly Speaker Robin Vos (R-Rochester) demanded that I pay nearly $200 in search fees. This was in response to a request I made in July for emails about proposed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legislation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keep the names of lottery winners secret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 sent the same request to the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bill’s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other leading co-sponsors — state Rep. Gary Tauchen (R-Bonduel) and state Sen. Dale Kooyenga (R-Brookfield) — and they provided records at no charge. Wisconsin Lottery Director Cindy Polzin also responded to the same request and released records for free.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hefty search fees from Nygren and Vos come after an appeals court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blasted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fellow GOP state Rep. Scott Krug (R-Nekoosa) for refusing to release electronic records, in response to a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lawsuit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filed by Lueders in 2016.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three-judge panel held that records that exist in electronic format must be produced electronically upon request.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that appellate ruling, Plotkin won a settlement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 her own suit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against 14 state lawmakers — including Krug and Vos — who had similarly refused to release emails in electronic format.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legislators are barred from charging print copy fees for emails, it appears, some are finding new ways to impose significant search fees on requesters.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State law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allows public officials to charge the “actual, necessary and direct cost” of locating records when this is $50 or more.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 law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allows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authorities to waive or reduce fees when doing so is in the public interest. Nygren and Vos chose not to do that.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There’s no question the public interest would have been served by waiving the fee for Plotkin, who regularly requests emails and correspondence that Wisconsinites send to lawmakers. She posts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findings, which often show that lawmakers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vote against the wishes of those who contact them,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her website,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we-the-irrelevant.org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government is a proud tradition in Wisconsin. Charging requesters exorbitant fees frustrates that tradition and the spirit of the public records law. The citizens of this state deserve better from Nygren and Vos.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Your Right to Know is a monthly column distributed by the Wisconsin Freedom of Information Council (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wisfoic.org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), a group dedicated to open government. Jonathan Anderson is a former Wisconsin journalist and current Ph.D. student at the University of Minnesota.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915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Jonathan Anderson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/>
        <w:drawing>
          <wp:inline distB="114300" distT="114300" distL="114300" distR="114300">
            <wp:extent cx="5915025" cy="645795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45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Sheila Plotkin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jpg"/><Relationship Id="rId11" Type="http://schemas.openxmlformats.org/officeDocument/2006/relationships/hyperlink" Target="https://www.wpr.org/bill-would-allow-wisconsin-lottery-winners-remain-anonymous" TargetMode="External"/><Relationship Id="rId10" Type="http://schemas.openxmlformats.org/officeDocument/2006/relationships/hyperlink" Target="https://isthmus.com/opinion/opinion/joint-finance-co-chair-made-it-too-costly-to-test-his-claim-of-support-for-gop-budget-bill/" TargetMode="External"/><Relationship Id="rId21" Type="http://schemas.openxmlformats.org/officeDocument/2006/relationships/image" Target="media/image1.jpg"/><Relationship Id="rId13" Type="http://schemas.openxmlformats.org/officeDocument/2006/relationships/hyperlink" Target="https://madison.com/ct/news/local/govt-and-politics/wisconsin-appeals-court-officials-have-to-provide-requested-electronic-records/article_a71dca10-efbb-5aac-953b-03db35d6fa4f.html" TargetMode="External"/><Relationship Id="rId12" Type="http://schemas.openxmlformats.org/officeDocument/2006/relationships/hyperlink" Target="https://docs.legis.wisconsin.gov/2019/proposals/ab21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dison.com/rep-john-nygren-gop-budget-invests-in-people-not-programs/article_e2d3679e-dd39-5de6-b720-2e7ad8a8a220.html" TargetMode="External"/><Relationship Id="rId15" Type="http://schemas.openxmlformats.org/officeDocument/2006/relationships/hyperlink" Target="https://wcca.wicourts.gov/caseDetail.html?caseNo=2019CV000974&amp;countyNo=13" TargetMode="External"/><Relationship Id="rId14" Type="http://schemas.openxmlformats.org/officeDocument/2006/relationships/hyperlink" Target="https://www.jsonline.com/story/news/politics/2018/01/22/judge-wisconsin-lawmaker-should-have-provided-electronic-copies-open-records/1053296001/" TargetMode="External"/><Relationship Id="rId17" Type="http://schemas.openxmlformats.org/officeDocument/2006/relationships/hyperlink" Target="https://docs.legis.wisconsin.gov/statutes/statutes/19/II/35/3/e" TargetMode="External"/><Relationship Id="rId16" Type="http://schemas.openxmlformats.org/officeDocument/2006/relationships/hyperlink" Target="https://docs.legis.wisconsin.gov/statutes/statutes/19/II/35/3/c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wisfoic.org/" TargetMode="External"/><Relationship Id="rId6" Type="http://schemas.openxmlformats.org/officeDocument/2006/relationships/hyperlink" Target="https://wiseye.org/2019/05/23/joint-committee-on-finance-104/" TargetMode="External"/><Relationship Id="rId18" Type="http://schemas.openxmlformats.org/officeDocument/2006/relationships/hyperlink" Target="http://www.we-the-irrelevant.org" TargetMode="External"/><Relationship Id="rId7" Type="http://schemas.openxmlformats.org/officeDocument/2006/relationships/hyperlink" Target="https://www.jsonline.com/story/news/politics/2019/05/23/wisconsin-gop-lawmakers-reach-deal-k-12-school-funding/1204005001/" TargetMode="External"/><Relationship Id="rId8" Type="http://schemas.openxmlformats.org/officeDocument/2006/relationships/hyperlink" Target="https://madison.com/ct/news/local/govt-and-politics/wisconsin-budget-committee-passes-gop-backed-million-increase-in-k/article_713dd325-be73-5234-9cb9-fcb73b56f97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